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523EE414" w:rsidR="005A7127" w:rsidRPr="00FC3F8A" w:rsidRDefault="00D11318" w:rsidP="00D11318">
      <w:hyperlink r:id="rId7" w:history="1">
        <w:r w:rsidRPr="00EE706E">
          <w:rPr>
            <w:rStyle w:val="Collegamentoipertestuale"/>
          </w:rPr>
          <w:t>https://it.marketscreener.com/notizie/ultimo/Panetta-essenziale-attuare-Pnrr-e-Piano-bilancio-effetto-su-rating-49071438/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042C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2CD6"/>
    <w:rsid w:val="004746AF"/>
    <w:rsid w:val="00474F92"/>
    <w:rsid w:val="00476363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6187"/>
    <w:rsid w:val="00613AA9"/>
    <w:rsid w:val="006165A3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7682C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C7CF4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it.marketscreener.com/notizie/ultimo/Panetta-essenziale-attuare-Pnrr-e-Piano-bilancio-effetto-su-rating-49071438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2025-02-24T11:18:00Z</dcterms:created>
  <dcterms:modified xsi:type="dcterms:W3CDTF">2025-02-24T13:10:00Z</dcterms:modified>
</cp:coreProperties>
</file>